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B8" w:rsidRDefault="00C02F8F" w:rsidP="00A12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TALLER</w:t>
      </w:r>
      <w:r w:rsidR="00A120E1" w:rsidRPr="003A2D3F">
        <w:rPr>
          <w:b/>
          <w:bCs/>
          <w:sz w:val="28"/>
          <w:szCs w:val="28"/>
        </w:rPr>
        <w:t xml:space="preserve"> DÍA </w:t>
      </w:r>
      <w:r w:rsidR="003470BC" w:rsidRPr="003A2D3F">
        <w:rPr>
          <w:b/>
          <w:bCs/>
          <w:sz w:val="28"/>
          <w:szCs w:val="28"/>
        </w:rPr>
        <w:t>2</w:t>
      </w:r>
      <w:r w:rsidR="009E631C" w:rsidRPr="003A2D3F">
        <w:rPr>
          <w:b/>
          <w:bCs/>
          <w:sz w:val="28"/>
          <w:szCs w:val="28"/>
        </w:rPr>
        <w:t xml:space="preserve"> </w:t>
      </w:r>
      <w:r w:rsidR="003470BC" w:rsidRPr="003A2D3F">
        <w:rPr>
          <w:b/>
          <w:bCs/>
          <w:sz w:val="28"/>
          <w:szCs w:val="28"/>
        </w:rPr>
        <w:t>–</w:t>
      </w:r>
      <w:r w:rsidR="009E631C" w:rsidRPr="003A2D3F">
        <w:rPr>
          <w:b/>
          <w:bCs/>
          <w:sz w:val="28"/>
          <w:szCs w:val="28"/>
        </w:rPr>
        <w:t xml:space="preserve"> </w:t>
      </w:r>
      <w:r w:rsidR="003470BC" w:rsidRPr="003A2D3F">
        <w:rPr>
          <w:b/>
          <w:bCs/>
          <w:sz w:val="28"/>
          <w:szCs w:val="28"/>
        </w:rPr>
        <w:t>NO CONFORMIDADES</w:t>
      </w:r>
    </w:p>
    <w:p w:rsidR="008164A6" w:rsidRPr="003A2D3F" w:rsidRDefault="008164A6" w:rsidP="00A120E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B5DD6" w:rsidRPr="003A2D3F" w:rsidRDefault="00057116" w:rsidP="004A4992">
      <w:pPr>
        <w:pStyle w:val="Prrafodelista"/>
        <w:numPr>
          <w:ilvl w:val="0"/>
          <w:numId w:val="31"/>
        </w:numPr>
        <w:jc w:val="both"/>
        <w:rPr>
          <w:b/>
          <w:bCs/>
          <w:sz w:val="28"/>
          <w:szCs w:val="28"/>
        </w:rPr>
      </w:pPr>
      <w:r w:rsidRPr="003A2D3F">
        <w:rPr>
          <w:b/>
          <w:bCs/>
          <w:sz w:val="28"/>
          <w:szCs w:val="28"/>
        </w:rPr>
        <w:t>Seleccione las No Conformidades que</w:t>
      </w:r>
      <w:r w:rsidR="00D16EEA" w:rsidRPr="003A2D3F">
        <w:rPr>
          <w:b/>
          <w:bCs/>
          <w:sz w:val="28"/>
          <w:szCs w:val="28"/>
        </w:rPr>
        <w:t xml:space="preserve"> considere</w:t>
      </w:r>
      <w:r w:rsidRPr="003A2D3F">
        <w:rPr>
          <w:b/>
          <w:bCs/>
          <w:sz w:val="28"/>
          <w:szCs w:val="28"/>
        </w:rPr>
        <w:t xml:space="preserve"> están correctamente redactadas:</w:t>
      </w:r>
    </w:p>
    <w:p w:rsidR="000A0315" w:rsidRPr="003A2D3F" w:rsidRDefault="000A0315" w:rsidP="000A0315">
      <w:pPr>
        <w:pStyle w:val="Prrafodelista"/>
        <w:ind w:left="360"/>
        <w:jc w:val="both"/>
        <w:rPr>
          <w:b/>
          <w:bCs/>
          <w:sz w:val="28"/>
          <w:szCs w:val="28"/>
        </w:rPr>
      </w:pPr>
    </w:p>
    <w:p w:rsidR="00891D8B" w:rsidRPr="003A2D3F" w:rsidRDefault="00B8560A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 xml:space="preserve">Las condiciones de almacenamiento </w:t>
      </w:r>
      <w:r w:rsidR="008C6417" w:rsidRPr="003A2D3F">
        <w:rPr>
          <w:sz w:val="28"/>
          <w:szCs w:val="28"/>
        </w:rPr>
        <w:t>de los reactivos no son las establecidas en la ficha de seguridad.</w:t>
      </w:r>
    </w:p>
    <w:p w:rsidR="00A02A36" w:rsidRPr="003A2D3F" w:rsidRDefault="00A02A36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El laboratorio no autoriza al personal para llevar a cabo actividades de laboratorio específicas</w:t>
      </w:r>
      <w:r w:rsidRPr="003A2D3F">
        <w:rPr>
          <w:sz w:val="28"/>
          <w:szCs w:val="28"/>
        </w:rPr>
        <w:t xml:space="preserve">, ya que la </w:t>
      </w:r>
      <w:r w:rsidRPr="003A2D3F">
        <w:rPr>
          <w:sz w:val="28"/>
          <w:szCs w:val="28"/>
        </w:rPr>
        <w:t>profesional de Microbiología</w:t>
      </w:r>
      <w:r w:rsidRPr="003A2D3F">
        <w:rPr>
          <w:sz w:val="28"/>
          <w:szCs w:val="28"/>
        </w:rPr>
        <w:t xml:space="preserve"> Juana </w:t>
      </w:r>
      <w:proofErr w:type="gramStart"/>
      <w:r w:rsidRPr="003A2D3F">
        <w:rPr>
          <w:sz w:val="28"/>
          <w:szCs w:val="28"/>
        </w:rPr>
        <w:t>Pérez</w:t>
      </w:r>
      <w:r w:rsidRPr="003A2D3F">
        <w:rPr>
          <w:sz w:val="28"/>
          <w:szCs w:val="28"/>
        </w:rPr>
        <w:t>,</w:t>
      </w:r>
      <w:proofErr w:type="gramEnd"/>
      <w:r w:rsidRPr="003A2D3F">
        <w:rPr>
          <w:sz w:val="28"/>
          <w:szCs w:val="28"/>
        </w:rPr>
        <w:t xml:space="preserve"> realiza manejo de </w:t>
      </w:r>
      <w:proofErr w:type="spellStart"/>
      <w:r w:rsidRPr="003A2D3F">
        <w:rPr>
          <w:sz w:val="28"/>
          <w:szCs w:val="28"/>
        </w:rPr>
        <w:t>cepario</w:t>
      </w:r>
      <w:proofErr w:type="spellEnd"/>
      <w:r w:rsidRPr="003A2D3F">
        <w:rPr>
          <w:sz w:val="28"/>
          <w:szCs w:val="28"/>
        </w:rPr>
        <w:t>, pero no se encuentra autorizada para la ejecución de dicha actividad</w:t>
      </w:r>
      <w:r w:rsidRPr="003A2D3F">
        <w:rPr>
          <w:sz w:val="28"/>
          <w:szCs w:val="28"/>
        </w:rPr>
        <w:t>, incumpliendo lo establecido en el requisito 6.2.6 de la norma ISO/IEC 17025:2017</w:t>
      </w:r>
      <w:r w:rsidR="00D16EEA" w:rsidRPr="003A2D3F">
        <w:rPr>
          <w:sz w:val="28"/>
          <w:szCs w:val="28"/>
        </w:rPr>
        <w:t xml:space="preserve">. </w:t>
      </w:r>
    </w:p>
    <w:p w:rsidR="008C6417" w:rsidRPr="003A2D3F" w:rsidRDefault="008C6417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Existen equipos que son se encuentran en el programa de calibración</w:t>
      </w:r>
      <w:r w:rsidR="00A30868" w:rsidRPr="003A2D3F">
        <w:rPr>
          <w:sz w:val="28"/>
          <w:szCs w:val="28"/>
        </w:rPr>
        <w:t>.</w:t>
      </w:r>
    </w:p>
    <w:p w:rsidR="00A30868" w:rsidRPr="003A2D3F" w:rsidRDefault="00A30868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No existe evidencia del estado de calibración de algunos equipos, como tampoco registros de mantenimiento.</w:t>
      </w:r>
    </w:p>
    <w:p w:rsidR="002072CA" w:rsidRPr="003A2D3F" w:rsidRDefault="00BF108D" w:rsidP="002072C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El laboratorio no conserva registros para asegurar que los productos y servicios suministrados externamente cumplen los requisitos establecidos por el laboratorio</w:t>
      </w:r>
      <w:r w:rsidRPr="003A2D3F">
        <w:rPr>
          <w:sz w:val="28"/>
          <w:szCs w:val="28"/>
        </w:rPr>
        <w:t>, ya que n</w:t>
      </w:r>
      <w:r w:rsidRPr="003A2D3F">
        <w:rPr>
          <w:sz w:val="28"/>
          <w:szCs w:val="28"/>
        </w:rPr>
        <w:t xml:space="preserve">o se encontró el registro “Solicitud de compra” código F-024 (en el cual se definen las especificaciones) para </w:t>
      </w:r>
      <w:r w:rsidRPr="003A2D3F">
        <w:rPr>
          <w:sz w:val="28"/>
          <w:szCs w:val="28"/>
        </w:rPr>
        <w:t xml:space="preserve">el reactivo </w:t>
      </w:r>
      <w:r w:rsidR="002072CA" w:rsidRPr="003A2D3F">
        <w:rPr>
          <w:sz w:val="28"/>
          <w:szCs w:val="28"/>
        </w:rPr>
        <w:t>“ácido sulfúrico”.</w:t>
      </w:r>
      <w:r w:rsidRPr="003A2D3F">
        <w:rPr>
          <w:sz w:val="28"/>
          <w:szCs w:val="28"/>
        </w:rPr>
        <w:t xml:space="preserve"> Cabe anotar que dentro del mismo documento es donde se debe hacer la verificación técnica del producto una vez se recibe en el laboratorio</w:t>
      </w:r>
      <w:r w:rsidR="002072CA" w:rsidRPr="003A2D3F">
        <w:rPr>
          <w:sz w:val="28"/>
          <w:szCs w:val="28"/>
        </w:rPr>
        <w:t xml:space="preserve">, lo cual incumple </w:t>
      </w:r>
      <w:r w:rsidR="002072CA" w:rsidRPr="003A2D3F">
        <w:rPr>
          <w:sz w:val="28"/>
          <w:szCs w:val="28"/>
        </w:rPr>
        <w:t>lo establecido en el requisito 6</w:t>
      </w:r>
      <w:r w:rsidR="002072CA" w:rsidRPr="003A2D3F">
        <w:rPr>
          <w:sz w:val="28"/>
          <w:szCs w:val="28"/>
        </w:rPr>
        <w:t>.6.2.c</w:t>
      </w:r>
      <w:r w:rsidR="002072CA" w:rsidRPr="003A2D3F">
        <w:rPr>
          <w:sz w:val="28"/>
          <w:szCs w:val="28"/>
        </w:rPr>
        <w:t xml:space="preserve"> de la norma ISO/IEC 17025:2017. </w:t>
      </w:r>
    </w:p>
    <w:p w:rsidR="00BF108D" w:rsidRPr="003A2D3F" w:rsidRDefault="00BD22F6" w:rsidP="00B42A52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 xml:space="preserve">El procedimiento de trabajo no conforme no </w:t>
      </w:r>
      <w:r w:rsidRPr="003A2D3F">
        <w:rPr>
          <w:sz w:val="28"/>
          <w:szCs w:val="28"/>
        </w:rPr>
        <w:t>asegura que</w:t>
      </w:r>
      <w:r w:rsidRPr="003A2D3F">
        <w:rPr>
          <w:sz w:val="28"/>
          <w:szCs w:val="28"/>
        </w:rPr>
        <w:t xml:space="preserve"> se incluya un análisis de impacto sobre los resultados previos</w:t>
      </w:r>
      <w:r w:rsidRPr="003A2D3F">
        <w:rPr>
          <w:sz w:val="28"/>
          <w:szCs w:val="28"/>
        </w:rPr>
        <w:t xml:space="preserve"> ya que p</w:t>
      </w:r>
      <w:r w:rsidRPr="003A2D3F">
        <w:rPr>
          <w:sz w:val="28"/>
          <w:szCs w:val="28"/>
        </w:rPr>
        <w:t>ara los trabajos no conformes con consecutivos 00</w:t>
      </w:r>
      <w:r w:rsidR="00144D7D" w:rsidRPr="003A2D3F">
        <w:rPr>
          <w:sz w:val="28"/>
          <w:szCs w:val="28"/>
        </w:rPr>
        <w:t>9</w:t>
      </w:r>
      <w:r w:rsidRPr="003A2D3F">
        <w:rPr>
          <w:sz w:val="28"/>
          <w:szCs w:val="28"/>
        </w:rPr>
        <w:t xml:space="preserve"> de 2019-04-01 </w:t>
      </w:r>
      <w:r w:rsidR="00796755" w:rsidRPr="003A2D3F">
        <w:rPr>
          <w:sz w:val="28"/>
          <w:szCs w:val="28"/>
        </w:rPr>
        <w:t>y 003</w:t>
      </w:r>
      <w:r w:rsidRPr="003A2D3F">
        <w:rPr>
          <w:sz w:val="28"/>
          <w:szCs w:val="28"/>
        </w:rPr>
        <w:t xml:space="preserve">-2019 </w:t>
      </w:r>
      <w:r w:rsidR="00B42A52" w:rsidRPr="003A2D3F">
        <w:rPr>
          <w:sz w:val="28"/>
          <w:szCs w:val="28"/>
        </w:rPr>
        <w:t>d</w:t>
      </w:r>
      <w:r w:rsidRPr="003A2D3F">
        <w:rPr>
          <w:sz w:val="28"/>
          <w:szCs w:val="28"/>
        </w:rPr>
        <w:t xml:space="preserve">e 2019-01-15 no se </w:t>
      </w:r>
      <w:r w:rsidR="00B42A52" w:rsidRPr="003A2D3F">
        <w:rPr>
          <w:sz w:val="28"/>
          <w:szCs w:val="28"/>
        </w:rPr>
        <w:t>evidencia</w:t>
      </w:r>
      <w:r w:rsidRPr="003A2D3F">
        <w:rPr>
          <w:sz w:val="28"/>
          <w:szCs w:val="28"/>
        </w:rPr>
        <w:t xml:space="preserve"> que se haya realizado un análisis sobre el impacto en los resultados previos</w:t>
      </w:r>
      <w:r w:rsidR="00B42A52" w:rsidRPr="003A2D3F">
        <w:rPr>
          <w:sz w:val="28"/>
          <w:szCs w:val="28"/>
        </w:rPr>
        <w:t xml:space="preserve">, incumpliendo con lo establecido en el requisito </w:t>
      </w:r>
      <w:r w:rsidRPr="003A2D3F">
        <w:rPr>
          <w:sz w:val="28"/>
          <w:szCs w:val="28"/>
        </w:rPr>
        <w:t xml:space="preserve">7.10.1 </w:t>
      </w:r>
      <w:r w:rsidR="00B42A52" w:rsidRPr="003A2D3F">
        <w:rPr>
          <w:sz w:val="28"/>
          <w:szCs w:val="28"/>
        </w:rPr>
        <w:t xml:space="preserve">c </w:t>
      </w:r>
      <w:r w:rsidR="00B42A52" w:rsidRPr="003A2D3F">
        <w:rPr>
          <w:sz w:val="28"/>
          <w:szCs w:val="28"/>
        </w:rPr>
        <w:t xml:space="preserve">de la norma ISO/IEC 17025:2017. </w:t>
      </w:r>
    </w:p>
    <w:p w:rsidR="00A30868" w:rsidRPr="003A2D3F" w:rsidRDefault="00A30868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Hay equipos que no se encuentran en un programa de calibración</w:t>
      </w:r>
    </w:p>
    <w:p w:rsidR="00A30868" w:rsidRPr="003A2D3F" w:rsidRDefault="00777253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No se controlan las condiciones ambientales en algunos ensayos que sí lo requieren</w:t>
      </w:r>
      <w:r w:rsidR="00766D40">
        <w:rPr>
          <w:sz w:val="28"/>
          <w:szCs w:val="28"/>
        </w:rPr>
        <w:t>.</w:t>
      </w:r>
    </w:p>
    <w:p w:rsidR="00441E07" w:rsidRPr="003A2D3F" w:rsidRDefault="00441E07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lastRenderedPageBreak/>
        <w:t>Las actividades de laboratorio no se llevan a cabo de manera que cumplan los requisitos de las organizaciones que otorgan reconocimiento</w:t>
      </w:r>
      <w:r w:rsidRPr="003A2D3F">
        <w:rPr>
          <w:sz w:val="28"/>
          <w:szCs w:val="28"/>
        </w:rPr>
        <w:t xml:space="preserve">, </w:t>
      </w:r>
      <w:r w:rsidR="00BE7902" w:rsidRPr="003A2D3F">
        <w:rPr>
          <w:sz w:val="28"/>
          <w:szCs w:val="28"/>
        </w:rPr>
        <w:t>l</w:t>
      </w:r>
      <w:r w:rsidRPr="003A2D3F">
        <w:rPr>
          <w:sz w:val="28"/>
          <w:szCs w:val="28"/>
        </w:rPr>
        <w:t xml:space="preserve">a balanza con código </w:t>
      </w:r>
      <w:r w:rsidR="00BE7902" w:rsidRPr="003A2D3F">
        <w:rPr>
          <w:sz w:val="28"/>
          <w:szCs w:val="28"/>
        </w:rPr>
        <w:t>2365</w:t>
      </w:r>
      <w:r w:rsidRPr="003A2D3F">
        <w:rPr>
          <w:sz w:val="28"/>
          <w:szCs w:val="28"/>
        </w:rPr>
        <w:t xml:space="preserve"> empleada en el análisis de humedad no se encuentra calibrada por laboratorio acreditado; la calibración actual fue realizada por </w:t>
      </w:r>
      <w:r w:rsidR="00984571" w:rsidRPr="003A2D3F">
        <w:rPr>
          <w:sz w:val="28"/>
          <w:szCs w:val="28"/>
        </w:rPr>
        <w:t>la empresa “EQUIPOS S.A”</w:t>
      </w:r>
      <w:r w:rsidRPr="003A2D3F">
        <w:rPr>
          <w:sz w:val="28"/>
          <w:szCs w:val="28"/>
        </w:rPr>
        <w:t xml:space="preserve">, </w:t>
      </w:r>
      <w:r w:rsidR="00984571" w:rsidRPr="003A2D3F">
        <w:rPr>
          <w:sz w:val="28"/>
          <w:szCs w:val="28"/>
        </w:rPr>
        <w:t>la</w:t>
      </w:r>
      <w:r w:rsidRPr="003A2D3F">
        <w:rPr>
          <w:sz w:val="28"/>
          <w:szCs w:val="28"/>
        </w:rPr>
        <w:t xml:space="preserve"> cual no se encuentra acreditad</w:t>
      </w:r>
      <w:r w:rsidR="00984571" w:rsidRPr="003A2D3F">
        <w:rPr>
          <w:sz w:val="28"/>
          <w:szCs w:val="28"/>
        </w:rPr>
        <w:t>a</w:t>
      </w:r>
      <w:r w:rsidRPr="003A2D3F">
        <w:rPr>
          <w:sz w:val="28"/>
          <w:szCs w:val="28"/>
        </w:rPr>
        <w:t xml:space="preserve"> para ese alcance</w:t>
      </w:r>
      <w:r w:rsidR="00984571" w:rsidRPr="003A2D3F">
        <w:rPr>
          <w:sz w:val="28"/>
          <w:szCs w:val="28"/>
        </w:rPr>
        <w:t xml:space="preserve"> incumpliendo lo definido en el</w:t>
      </w:r>
      <w:r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CEA-</w:t>
      </w:r>
      <w:r w:rsidR="00796755" w:rsidRPr="003A2D3F">
        <w:rPr>
          <w:sz w:val="28"/>
          <w:szCs w:val="28"/>
        </w:rPr>
        <w:t>3.0</w:t>
      </w:r>
      <w:r w:rsidRPr="003A2D3F">
        <w:rPr>
          <w:sz w:val="28"/>
          <w:szCs w:val="28"/>
        </w:rPr>
        <w:t>-02 V.</w:t>
      </w:r>
      <w:r w:rsidR="00796755" w:rsidRPr="003A2D3F">
        <w:rPr>
          <w:sz w:val="28"/>
          <w:szCs w:val="28"/>
        </w:rPr>
        <w:t>05</w:t>
      </w:r>
    </w:p>
    <w:p w:rsidR="00BB0E5E" w:rsidRPr="003A2D3F" w:rsidRDefault="00BB0E5E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Me pareció observar que hay muestra cuya cantidad no es suficiente para el ensayo</w:t>
      </w:r>
    </w:p>
    <w:p w:rsidR="00796755" w:rsidRPr="003A2D3F" w:rsidRDefault="00A35829" w:rsidP="0073785A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 xml:space="preserve">No se cumple con los requisitos definidos por el cliente, ya que </w:t>
      </w:r>
      <w:r w:rsidR="00CD03E0" w:rsidRPr="003A2D3F">
        <w:rPr>
          <w:sz w:val="28"/>
          <w:szCs w:val="28"/>
        </w:rPr>
        <w:t xml:space="preserve">en </w:t>
      </w:r>
      <w:r w:rsidRPr="003A2D3F">
        <w:rPr>
          <w:sz w:val="28"/>
          <w:szCs w:val="28"/>
        </w:rPr>
        <w:t xml:space="preserve">la solicitud de ensayo 205 de </w:t>
      </w:r>
      <w:r w:rsidR="001B1269" w:rsidRPr="003A2D3F">
        <w:rPr>
          <w:sz w:val="28"/>
          <w:szCs w:val="28"/>
        </w:rPr>
        <w:t>2020/03/25</w:t>
      </w:r>
      <w:r w:rsidRPr="003A2D3F">
        <w:rPr>
          <w:sz w:val="28"/>
          <w:szCs w:val="28"/>
        </w:rPr>
        <w:t xml:space="preserve"> </w:t>
      </w:r>
      <w:r w:rsidR="001B1269" w:rsidRPr="003A2D3F">
        <w:rPr>
          <w:sz w:val="28"/>
          <w:szCs w:val="28"/>
        </w:rPr>
        <w:t>d</w:t>
      </w:r>
      <w:r w:rsidRPr="003A2D3F">
        <w:rPr>
          <w:sz w:val="28"/>
          <w:szCs w:val="28"/>
        </w:rPr>
        <w:t>el cliente “</w:t>
      </w:r>
      <w:r w:rsidR="001B1269" w:rsidRPr="003A2D3F">
        <w:rPr>
          <w:sz w:val="28"/>
          <w:szCs w:val="28"/>
        </w:rPr>
        <w:t xml:space="preserve">Naturaleza Viva”, indicaba que la muestra </w:t>
      </w:r>
      <w:r w:rsidR="00CD03E0" w:rsidRPr="003A2D3F">
        <w:rPr>
          <w:sz w:val="28"/>
          <w:szCs w:val="28"/>
        </w:rPr>
        <w:t xml:space="preserve">de “crema de cacao” </w:t>
      </w:r>
      <w:r w:rsidR="001B1269" w:rsidRPr="003A2D3F">
        <w:rPr>
          <w:sz w:val="28"/>
          <w:szCs w:val="28"/>
        </w:rPr>
        <w:t>debía analizarse dentro de las 24 horas</w:t>
      </w:r>
      <w:r w:rsidR="00CD03E0" w:rsidRPr="003A2D3F">
        <w:rPr>
          <w:sz w:val="28"/>
          <w:szCs w:val="28"/>
        </w:rPr>
        <w:t xml:space="preserve"> posteriores a</w:t>
      </w:r>
      <w:r w:rsidR="001B1269" w:rsidRPr="003A2D3F">
        <w:rPr>
          <w:sz w:val="28"/>
          <w:szCs w:val="28"/>
        </w:rPr>
        <w:t xml:space="preserve"> la toma de muestra</w:t>
      </w:r>
      <w:r w:rsidR="00CD03E0" w:rsidRPr="003A2D3F">
        <w:rPr>
          <w:sz w:val="28"/>
          <w:szCs w:val="28"/>
        </w:rPr>
        <w:t>, sin embargo</w:t>
      </w:r>
      <w:r w:rsidR="00FB4FFB" w:rsidRPr="003A2D3F">
        <w:rPr>
          <w:sz w:val="28"/>
          <w:szCs w:val="28"/>
        </w:rPr>
        <w:t>,</w:t>
      </w:r>
      <w:r w:rsidR="00CD03E0" w:rsidRPr="003A2D3F">
        <w:rPr>
          <w:sz w:val="28"/>
          <w:szCs w:val="28"/>
        </w:rPr>
        <w:t xml:space="preserve"> se evidenció que la muestra fue analizada tres días de la toma de la muestra</w:t>
      </w:r>
      <w:r w:rsidR="00FB4FFB" w:rsidRPr="003A2D3F">
        <w:rPr>
          <w:sz w:val="28"/>
          <w:szCs w:val="28"/>
        </w:rPr>
        <w:t xml:space="preserve">. </w:t>
      </w:r>
    </w:p>
    <w:p w:rsidR="00BF46D9" w:rsidRPr="003A2D3F" w:rsidRDefault="00BF46D9" w:rsidP="00BF46D9">
      <w:pPr>
        <w:pStyle w:val="Prrafodelista"/>
        <w:jc w:val="both"/>
        <w:rPr>
          <w:sz w:val="28"/>
          <w:szCs w:val="28"/>
        </w:rPr>
      </w:pPr>
    </w:p>
    <w:p w:rsidR="00180499" w:rsidRPr="003A2D3F" w:rsidRDefault="00BF46D9" w:rsidP="00BF46D9">
      <w:pPr>
        <w:pStyle w:val="Prrafodelista"/>
        <w:numPr>
          <w:ilvl w:val="0"/>
          <w:numId w:val="31"/>
        </w:numPr>
        <w:jc w:val="both"/>
        <w:rPr>
          <w:b/>
          <w:bCs/>
          <w:sz w:val="28"/>
          <w:szCs w:val="28"/>
        </w:rPr>
      </w:pPr>
      <w:r w:rsidRPr="003A2D3F">
        <w:rPr>
          <w:b/>
          <w:bCs/>
          <w:sz w:val="28"/>
          <w:szCs w:val="28"/>
        </w:rPr>
        <w:t>Identifique con (M) cuál podría ser una oportunidad de mejora</w:t>
      </w:r>
      <w:r w:rsidR="0084450A" w:rsidRPr="003A2D3F">
        <w:rPr>
          <w:b/>
          <w:bCs/>
          <w:sz w:val="28"/>
          <w:szCs w:val="28"/>
        </w:rPr>
        <w:t>,</w:t>
      </w:r>
      <w:r w:rsidRPr="003A2D3F">
        <w:rPr>
          <w:b/>
          <w:bCs/>
          <w:sz w:val="28"/>
          <w:szCs w:val="28"/>
        </w:rPr>
        <w:t xml:space="preserve"> con (O) cuál una observación</w:t>
      </w:r>
      <w:r w:rsidR="0084450A" w:rsidRPr="003A2D3F">
        <w:rPr>
          <w:b/>
          <w:bCs/>
          <w:sz w:val="28"/>
          <w:szCs w:val="28"/>
        </w:rPr>
        <w:t xml:space="preserve"> y con (F) </w:t>
      </w:r>
      <w:r w:rsidR="00610441" w:rsidRPr="003A2D3F">
        <w:rPr>
          <w:b/>
          <w:bCs/>
          <w:sz w:val="28"/>
          <w:szCs w:val="28"/>
        </w:rPr>
        <w:t xml:space="preserve">cuál </w:t>
      </w:r>
      <w:r w:rsidR="0084450A" w:rsidRPr="003A2D3F">
        <w:rPr>
          <w:b/>
          <w:bCs/>
          <w:sz w:val="28"/>
          <w:szCs w:val="28"/>
        </w:rPr>
        <w:t>una fortaleza</w:t>
      </w:r>
    </w:p>
    <w:p w:rsidR="00281B91" w:rsidRPr="003A2D3F" w:rsidRDefault="00281B91" w:rsidP="00281B91">
      <w:pPr>
        <w:pStyle w:val="Prrafodelista"/>
        <w:ind w:left="360"/>
        <w:jc w:val="both"/>
        <w:rPr>
          <w:b/>
          <w:bCs/>
          <w:sz w:val="28"/>
          <w:szCs w:val="28"/>
        </w:rPr>
      </w:pPr>
    </w:p>
    <w:p w:rsidR="00BF46D9" w:rsidRPr="003A2D3F" w:rsidRDefault="00060618" w:rsidP="00281B91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Es importante dar más claridad en cuales son los acuerdos legalmente ejecutables que emplea el laboratorio para la protección de toda la información.</w:t>
      </w:r>
      <w:r w:rsidR="00356290" w:rsidRPr="003A2D3F">
        <w:rPr>
          <w:sz w:val="28"/>
          <w:szCs w:val="28"/>
        </w:rPr>
        <w:t xml:space="preserve"> </w:t>
      </w:r>
    </w:p>
    <w:p w:rsidR="0084450A" w:rsidRPr="003A2D3F" w:rsidRDefault="00113EC4" w:rsidP="00113EC4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Se evidencia el compromiso de la dirección y del personal de los laboratorios con el sistema de</w:t>
      </w:r>
      <w:r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gestión de la entidad, resaltando su buena disposición para atender la evaluación.</w:t>
      </w:r>
      <w:r w:rsidRPr="003A2D3F">
        <w:rPr>
          <w:sz w:val="28"/>
          <w:szCs w:val="28"/>
        </w:rPr>
        <w:t xml:space="preserve"> </w:t>
      </w:r>
    </w:p>
    <w:p w:rsidR="00766D40" w:rsidRDefault="00060618" w:rsidP="00041222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766D40">
        <w:rPr>
          <w:sz w:val="28"/>
          <w:szCs w:val="28"/>
        </w:rPr>
        <w:t xml:space="preserve">Definir los mecanismos para mitigar el riesgo de que el personal externo al laboratorio, como por ejemplo las personas que realizan mantenimientos y/o calibraciones a equipos podrían tener acceso a información </w:t>
      </w:r>
      <w:r w:rsidR="005A206B" w:rsidRPr="00766D40">
        <w:rPr>
          <w:sz w:val="28"/>
          <w:szCs w:val="28"/>
        </w:rPr>
        <w:t>confidencial</w:t>
      </w:r>
      <w:r w:rsidRPr="00766D40">
        <w:rPr>
          <w:sz w:val="28"/>
          <w:szCs w:val="28"/>
        </w:rPr>
        <w:t xml:space="preserve"> del </w:t>
      </w:r>
      <w:r w:rsidR="00E86E91" w:rsidRPr="00766D40">
        <w:rPr>
          <w:sz w:val="28"/>
          <w:szCs w:val="28"/>
        </w:rPr>
        <w:t xml:space="preserve">laboratorio. </w:t>
      </w:r>
    </w:p>
    <w:p w:rsidR="005A206B" w:rsidRPr="00766D40" w:rsidRDefault="005A206B" w:rsidP="00041222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766D40">
        <w:rPr>
          <w:sz w:val="28"/>
          <w:szCs w:val="28"/>
        </w:rPr>
        <w:t xml:space="preserve">Es conveniente actualizar la página Web del laboratorio ya que cita la norma ISO 17025:2005 sin embargo actualmente se tiene implementada la versión </w:t>
      </w:r>
      <w:r w:rsidR="00E86E91" w:rsidRPr="00766D40">
        <w:rPr>
          <w:sz w:val="28"/>
          <w:szCs w:val="28"/>
        </w:rPr>
        <w:t xml:space="preserve">2017. </w:t>
      </w:r>
    </w:p>
    <w:p w:rsidR="00281B91" w:rsidRPr="003A2D3F" w:rsidRDefault="00281B91" w:rsidP="00281B91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lastRenderedPageBreak/>
        <w:t xml:space="preserve">Es conveniente que los formatos de control de temperatura código F-019, utilizado para el </w:t>
      </w:r>
      <w:r w:rsidR="00356290" w:rsidRPr="003A2D3F">
        <w:rPr>
          <w:sz w:val="28"/>
          <w:szCs w:val="28"/>
        </w:rPr>
        <w:t>“</w:t>
      </w:r>
      <w:r w:rsidRPr="003A2D3F">
        <w:rPr>
          <w:sz w:val="28"/>
          <w:szCs w:val="28"/>
        </w:rPr>
        <w:t>registro de temperatura de neveras</w:t>
      </w:r>
      <w:r w:rsidR="00356290" w:rsidRPr="003A2D3F">
        <w:rPr>
          <w:sz w:val="28"/>
          <w:szCs w:val="28"/>
        </w:rPr>
        <w:t>”</w:t>
      </w:r>
      <w:r w:rsidRPr="003A2D3F">
        <w:rPr>
          <w:sz w:val="28"/>
          <w:szCs w:val="28"/>
        </w:rPr>
        <w:t>, se</w:t>
      </w:r>
      <w:r w:rsidR="006C5E58" w:rsidRPr="003A2D3F">
        <w:rPr>
          <w:sz w:val="28"/>
          <w:szCs w:val="28"/>
        </w:rPr>
        <w:t xml:space="preserve"> relacione</w:t>
      </w:r>
      <w:r w:rsidRPr="003A2D3F">
        <w:rPr>
          <w:sz w:val="28"/>
          <w:szCs w:val="28"/>
        </w:rPr>
        <w:t xml:space="preserve"> el </w:t>
      </w:r>
      <w:r w:rsidR="0084450A" w:rsidRPr="003A2D3F">
        <w:rPr>
          <w:sz w:val="28"/>
          <w:szCs w:val="28"/>
        </w:rPr>
        <w:t>termómetro</w:t>
      </w:r>
      <w:r w:rsidRPr="003A2D3F">
        <w:rPr>
          <w:sz w:val="28"/>
          <w:szCs w:val="28"/>
        </w:rPr>
        <w:t xml:space="preserve"> con el cual se toma la temperatura del equipo.</w:t>
      </w:r>
      <w:r w:rsidR="00356290" w:rsidRPr="003A2D3F">
        <w:rPr>
          <w:sz w:val="28"/>
          <w:szCs w:val="28"/>
        </w:rPr>
        <w:t xml:space="preserve"> </w:t>
      </w:r>
    </w:p>
    <w:p w:rsidR="00356290" w:rsidRPr="003A2D3F" w:rsidRDefault="00356290" w:rsidP="00356290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El personal demuestra gran competencia y amplio conocimiento técnico en los ensayos de análisis y diagnóstico que realiza y se resalta su honestidad para responder las preguntas del equipo evaluador.</w:t>
      </w:r>
      <w:r w:rsidRPr="003A2D3F">
        <w:rPr>
          <w:sz w:val="28"/>
          <w:szCs w:val="28"/>
        </w:rPr>
        <w:t xml:space="preserve"> </w:t>
      </w:r>
    </w:p>
    <w:p w:rsidR="001D5FBF" w:rsidRPr="003A2D3F" w:rsidRDefault="001D5FBF" w:rsidP="00356290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Revisar la pertinencia de tener un mecanismo para determinar el tamaño de la muestra al momento de realizar las encuestas de satisfacción.</w:t>
      </w:r>
      <w:r w:rsidR="00356290" w:rsidRPr="003A2D3F">
        <w:rPr>
          <w:sz w:val="28"/>
          <w:szCs w:val="28"/>
        </w:rPr>
        <w:t xml:space="preserve"> </w:t>
      </w:r>
    </w:p>
    <w:p w:rsidR="00353610" w:rsidRPr="003A2D3F" w:rsidRDefault="00353610" w:rsidP="00281B91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Revisar la pertinencia de resaltar cambios dentro de los documentos, con el fin de facilitar su identificación.</w:t>
      </w:r>
      <w:r w:rsidR="00356290" w:rsidRPr="003A2D3F">
        <w:rPr>
          <w:sz w:val="28"/>
          <w:szCs w:val="28"/>
        </w:rPr>
        <w:t xml:space="preserve"> </w:t>
      </w:r>
    </w:p>
    <w:p w:rsidR="00CE4E5C" w:rsidRPr="003A2D3F" w:rsidRDefault="00CE4E5C" w:rsidP="00356290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Se resalta la gestión realizada para la identificación de los riesgos a la imparcialidad y las acciones</w:t>
      </w:r>
      <w:r w:rsidR="00356290"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implementadas para mitigar dichos riesgos</w:t>
      </w:r>
      <w:r w:rsidR="00356290" w:rsidRPr="003A2D3F">
        <w:rPr>
          <w:sz w:val="28"/>
          <w:szCs w:val="28"/>
        </w:rPr>
        <w:t xml:space="preserve">. </w:t>
      </w:r>
    </w:p>
    <w:p w:rsidR="00CE4E5C" w:rsidRPr="003A2D3F" w:rsidRDefault="00CE4E5C" w:rsidP="00356290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Se resalta el grado de detalle con el que se manejan los procesos referentes a entrenamiento,</w:t>
      </w:r>
      <w:r w:rsidR="00356290"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formación, autorización de personal y seguimiento de la competencia del personal del</w:t>
      </w:r>
      <w:r w:rsidR="00356290"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laboratorio.</w:t>
      </w:r>
      <w:r w:rsidR="00991A3B" w:rsidRPr="003A2D3F">
        <w:rPr>
          <w:sz w:val="28"/>
          <w:szCs w:val="28"/>
        </w:rPr>
        <w:t xml:space="preserve"> </w:t>
      </w:r>
    </w:p>
    <w:p w:rsidR="00CE4E5C" w:rsidRPr="003A2D3F" w:rsidRDefault="00CE4E5C" w:rsidP="00356290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Se destaca el seguimiento de buenas prácticas de laboratorio en el trabajo diario de los</w:t>
      </w:r>
      <w:r w:rsidR="00356290" w:rsidRPr="003A2D3F">
        <w:rPr>
          <w:sz w:val="28"/>
          <w:szCs w:val="28"/>
        </w:rPr>
        <w:t xml:space="preserve"> </w:t>
      </w:r>
      <w:r w:rsidRPr="003A2D3F">
        <w:rPr>
          <w:sz w:val="28"/>
          <w:szCs w:val="28"/>
        </w:rPr>
        <w:t>laboratorios.</w:t>
      </w:r>
      <w:r w:rsidR="00356290" w:rsidRPr="003A2D3F">
        <w:rPr>
          <w:sz w:val="28"/>
          <w:szCs w:val="28"/>
        </w:rPr>
        <w:t xml:space="preserve"> </w:t>
      </w:r>
    </w:p>
    <w:p w:rsidR="00425E6C" w:rsidRDefault="00293D10" w:rsidP="00CE4E5C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>Organizar los compromisos en las actas de revisión por la dirección de manera que queden alineados con el requisito 8.9.3 de la norma ISO/IEC 17025:2017 y sea de fácil visualización</w:t>
      </w:r>
      <w:r w:rsidR="00425E6C">
        <w:rPr>
          <w:sz w:val="28"/>
          <w:szCs w:val="28"/>
        </w:rPr>
        <w:t xml:space="preserve">. </w:t>
      </w:r>
    </w:p>
    <w:p w:rsidR="00D97A60" w:rsidRDefault="00293D10" w:rsidP="00CE4E5C">
      <w:pPr>
        <w:pStyle w:val="Prrafodelista"/>
        <w:numPr>
          <w:ilvl w:val="0"/>
          <w:numId w:val="38"/>
        </w:numPr>
        <w:jc w:val="both"/>
        <w:rPr>
          <w:sz w:val="28"/>
          <w:szCs w:val="28"/>
        </w:rPr>
      </w:pPr>
      <w:r w:rsidRPr="003A2D3F">
        <w:rPr>
          <w:sz w:val="28"/>
          <w:szCs w:val="28"/>
        </w:rPr>
        <w:t xml:space="preserve">Incluir en el </w:t>
      </w:r>
      <w:r w:rsidR="000F625B">
        <w:rPr>
          <w:sz w:val="28"/>
          <w:szCs w:val="28"/>
        </w:rPr>
        <w:t xml:space="preserve">procedimiento </w:t>
      </w:r>
      <w:r w:rsidR="000F625B" w:rsidRPr="003A2D3F">
        <w:rPr>
          <w:sz w:val="28"/>
          <w:szCs w:val="28"/>
        </w:rPr>
        <w:t>de</w:t>
      </w:r>
      <w:r w:rsidRPr="003A2D3F">
        <w:rPr>
          <w:sz w:val="28"/>
          <w:szCs w:val="28"/>
        </w:rPr>
        <w:t xml:space="preserve"> trabajo no conforme</w:t>
      </w:r>
      <w:r w:rsidR="000F625B">
        <w:rPr>
          <w:sz w:val="28"/>
          <w:szCs w:val="28"/>
        </w:rPr>
        <w:t>,</w:t>
      </w:r>
      <w:r w:rsidRPr="003A2D3F">
        <w:rPr>
          <w:sz w:val="28"/>
          <w:szCs w:val="28"/>
        </w:rPr>
        <w:t xml:space="preserve"> el seguimiento a la ejecución de las correcciones en especial cuando no se genera acción correctiva.</w:t>
      </w:r>
      <w:r w:rsidR="000F625B">
        <w:rPr>
          <w:sz w:val="28"/>
          <w:szCs w:val="28"/>
        </w:rPr>
        <w:t xml:space="preserve"> </w:t>
      </w:r>
    </w:p>
    <w:p w:rsidR="00E86E91" w:rsidRDefault="00E86E91" w:rsidP="000F625B">
      <w:pPr>
        <w:jc w:val="both"/>
        <w:rPr>
          <w:sz w:val="28"/>
          <w:szCs w:val="28"/>
        </w:rPr>
      </w:pPr>
      <w:r w:rsidRPr="008164A6">
        <w:rPr>
          <w:b/>
          <w:bCs/>
          <w:sz w:val="28"/>
          <w:szCs w:val="28"/>
        </w:rPr>
        <w:t>3</w:t>
      </w:r>
      <w:r w:rsidR="008164A6" w:rsidRPr="008164A6">
        <w:rPr>
          <w:b/>
          <w:bCs/>
          <w:sz w:val="28"/>
          <w:szCs w:val="28"/>
        </w:rPr>
        <w:t>)</w:t>
      </w:r>
      <w:r w:rsidR="00D96089" w:rsidRPr="008164A6">
        <w:rPr>
          <w:b/>
          <w:bCs/>
          <w:sz w:val="28"/>
          <w:szCs w:val="28"/>
        </w:rPr>
        <w:t xml:space="preserve"> Teniendo en cuenta los bloques de redacción de una no conformidad, redacte correctamente una correspondiente a los siguientes hallazgos</w:t>
      </w:r>
      <w:r w:rsidR="00D96089">
        <w:rPr>
          <w:sz w:val="28"/>
          <w:szCs w:val="28"/>
        </w:rPr>
        <w:t>:</w:t>
      </w:r>
    </w:p>
    <w:p w:rsidR="00D96089" w:rsidRDefault="009C449B" w:rsidP="009C449B">
      <w:pPr>
        <w:pStyle w:val="Prrafodelista"/>
        <w:numPr>
          <w:ilvl w:val="0"/>
          <w:numId w:val="39"/>
        </w:numPr>
        <w:jc w:val="both"/>
        <w:rPr>
          <w:sz w:val="28"/>
          <w:szCs w:val="28"/>
        </w:rPr>
      </w:pPr>
      <w:r w:rsidRPr="009C449B">
        <w:rPr>
          <w:sz w:val="28"/>
          <w:szCs w:val="28"/>
        </w:rPr>
        <w:t>Las muestras almacenadas en el laboratorio están claramente identificadas, pero no están definidas las condiciones ni tiempos de almacenamiento.</w:t>
      </w:r>
    </w:p>
    <w:p w:rsidR="00C02F8F" w:rsidRDefault="00C02F8F" w:rsidP="00D12C86">
      <w:pPr>
        <w:pStyle w:val="Prrafodelista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hay una planificación para la ejecución de revisiones por la dirección.</w:t>
      </w:r>
    </w:p>
    <w:p w:rsidR="00D12C86" w:rsidRPr="00D12C86" w:rsidRDefault="00B510EE" w:rsidP="00D12C86">
      <w:pPr>
        <w:pStyle w:val="Prrafodelista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 se tienen definidos los requisitos del cliente, las autoridades reglamentarias ni de los organismos que otorgan reconocimiento. </w:t>
      </w:r>
    </w:p>
    <w:sectPr w:rsidR="00D12C86" w:rsidRPr="00D12C8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9A" w:rsidRDefault="007B1A9A" w:rsidP="004F7CD5">
      <w:pPr>
        <w:spacing w:after="0" w:line="240" w:lineRule="auto"/>
      </w:pPr>
      <w:r>
        <w:separator/>
      </w:r>
    </w:p>
  </w:endnote>
  <w:endnote w:type="continuationSeparator" w:id="0">
    <w:p w:rsidR="007B1A9A" w:rsidRDefault="007B1A9A" w:rsidP="004F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C8" w:rsidRPr="003D58A8" w:rsidRDefault="00375EC8" w:rsidP="00375EC8">
    <w:pPr>
      <w:pStyle w:val="Piedepgina"/>
      <w:jc w:val="center"/>
      <w:rPr>
        <w:rFonts w:ascii="MetaPro-Normal" w:hAnsi="MetaPro-Normal"/>
        <w:b/>
      </w:rPr>
    </w:pPr>
    <w:r w:rsidRPr="003D58A8">
      <w:rPr>
        <w:rFonts w:ascii="MetaPro-Normal" w:hAnsi="MetaPro-Normal"/>
        <w:b/>
      </w:rPr>
      <w:t xml:space="preserve">GQSP COLOMBIA –  </w:t>
    </w:r>
    <w:r w:rsidR="004F7CD5" w:rsidRPr="003D58A8">
      <w:rPr>
        <w:rFonts w:ascii="MetaPro-Normal" w:hAnsi="MetaPro-Normal"/>
        <w:b/>
      </w:rPr>
      <w:t>PROGRAMA DE CALIDAD PARA LA CADENA DE QUÍMICOS</w:t>
    </w:r>
  </w:p>
  <w:p w:rsidR="004F7CD5" w:rsidRPr="00480A10" w:rsidRDefault="004F7CD5">
    <w:pPr>
      <w:pStyle w:val="Piedepgina"/>
      <w:rPr>
        <w:rFonts w:ascii="MetaPro-Normal" w:hAnsi="MetaPro-Norm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9A" w:rsidRDefault="007B1A9A" w:rsidP="004F7CD5">
      <w:pPr>
        <w:spacing w:after="0" w:line="240" w:lineRule="auto"/>
      </w:pPr>
      <w:r>
        <w:separator/>
      </w:r>
    </w:p>
  </w:footnote>
  <w:footnote w:type="continuationSeparator" w:id="0">
    <w:p w:rsidR="007B1A9A" w:rsidRDefault="007B1A9A" w:rsidP="004F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CD5" w:rsidRDefault="004F7CD5" w:rsidP="004F7CD5">
    <w:pPr>
      <w:pStyle w:val="Encabezado"/>
    </w:pPr>
  </w:p>
  <w:p w:rsidR="004F7CD5" w:rsidRDefault="004F7CD5" w:rsidP="004F7CD5">
    <w:pPr>
      <w:pStyle w:val="Encabezado"/>
    </w:pPr>
    <w:r w:rsidRPr="004B4725"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F417B09" wp14:editId="5E19C170">
          <wp:simplePos x="0" y="0"/>
          <wp:positionH relativeFrom="column">
            <wp:posOffset>5169535</wp:posOffset>
          </wp:positionH>
          <wp:positionV relativeFrom="paragraph">
            <wp:posOffset>-121920</wp:posOffset>
          </wp:positionV>
          <wp:extent cx="952500" cy="372110"/>
          <wp:effectExtent l="0" t="0" r="0" b="0"/>
          <wp:wrapNone/>
          <wp:docPr id="20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1D1ED63B" wp14:editId="430D6887">
          <wp:simplePos x="0" y="0"/>
          <wp:positionH relativeFrom="column">
            <wp:posOffset>3795395</wp:posOffset>
          </wp:positionH>
          <wp:positionV relativeFrom="paragraph">
            <wp:posOffset>-48895</wp:posOffset>
          </wp:positionV>
          <wp:extent cx="1116330" cy="220345"/>
          <wp:effectExtent l="0" t="0" r="7620" b="8255"/>
          <wp:wrapNone/>
          <wp:docPr id="201" name="Imagen 21">
            <a:extLst xmlns:a="http://schemas.openxmlformats.org/drawingml/2006/main">
              <a:ext uri="{FF2B5EF4-FFF2-40B4-BE49-F238E27FC236}">
                <a16:creationId xmlns:a16="http://schemas.microsoft.com/office/drawing/2014/main" id="{3BD8A2AB-01EE-4702-AFB3-8A8531C49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BD8A2AB-01EE-4702-AFB3-8A8531C49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746FEDBD" wp14:editId="05005EAE">
          <wp:simplePos x="0" y="0"/>
          <wp:positionH relativeFrom="column">
            <wp:posOffset>-278765</wp:posOffset>
          </wp:positionH>
          <wp:positionV relativeFrom="paragraph">
            <wp:posOffset>-262255</wp:posOffset>
          </wp:positionV>
          <wp:extent cx="1070650" cy="581668"/>
          <wp:effectExtent l="0" t="0" r="0" b="8890"/>
          <wp:wrapNone/>
          <wp:docPr id="202" name="Picture 24">
            <a:extLst xmlns:a="http://schemas.openxmlformats.org/drawingml/2006/main">
              <a:ext uri="{FF2B5EF4-FFF2-40B4-BE49-F238E27FC236}">
                <a16:creationId xmlns:a16="http://schemas.microsoft.com/office/drawing/2014/main" id="{33F7DFA8-976E-42EB-B063-201D8728F32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4">
                    <a:extLst>
                      <a:ext uri="{FF2B5EF4-FFF2-40B4-BE49-F238E27FC236}">
                        <a16:creationId xmlns:a16="http://schemas.microsoft.com/office/drawing/2014/main" id="{33F7DFA8-976E-42EB-B063-201D8728F325}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b="4458"/>
                  <a:stretch/>
                </pic:blipFill>
                <pic:spPr bwMode="auto">
                  <a:xfrm>
                    <a:off x="0" y="0"/>
                    <a:ext cx="1070650" cy="581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7A3CE5CA" wp14:editId="0D487983">
          <wp:simplePos x="0" y="0"/>
          <wp:positionH relativeFrom="column">
            <wp:posOffset>961390</wp:posOffset>
          </wp:positionH>
          <wp:positionV relativeFrom="paragraph">
            <wp:posOffset>-52070</wp:posOffset>
          </wp:positionV>
          <wp:extent cx="1336675" cy="266700"/>
          <wp:effectExtent l="0" t="0" r="0" b="0"/>
          <wp:wrapNone/>
          <wp:docPr id="203" name="Picture 25">
            <a:extLst xmlns:a="http://schemas.openxmlformats.org/drawingml/2006/main">
              <a:ext uri="{FF2B5EF4-FFF2-40B4-BE49-F238E27FC236}">
                <a16:creationId xmlns:a16="http://schemas.microsoft.com/office/drawing/2014/main" id="{BA9BB653-A771-4E7E-B438-0E7CA02D24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5">
                    <a:extLst>
                      <a:ext uri="{FF2B5EF4-FFF2-40B4-BE49-F238E27FC236}">
                        <a16:creationId xmlns:a16="http://schemas.microsoft.com/office/drawing/2014/main" id="{BA9BB653-A771-4E7E-B438-0E7CA02D24E9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72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306A4545" wp14:editId="77F0481F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953135" cy="545465"/>
          <wp:effectExtent l="0" t="0" r="0" b="6985"/>
          <wp:wrapNone/>
          <wp:docPr id="204" name="Picture 23">
            <a:extLst xmlns:a="http://schemas.openxmlformats.org/drawingml/2006/main">
              <a:ext uri="{FF2B5EF4-FFF2-40B4-BE49-F238E27FC236}">
                <a16:creationId xmlns:a16="http://schemas.microsoft.com/office/drawing/2014/main" id="{F9B2CEDD-34A1-42F7-AA17-1CC25557E3F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FF2B5EF4-FFF2-40B4-BE49-F238E27FC236}">
                        <a16:creationId xmlns:a16="http://schemas.microsoft.com/office/drawing/2014/main" id="{F9B2CEDD-34A1-42F7-AA17-1CC25557E3FA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CD5" w:rsidRDefault="004F7CD5">
    <w:pPr>
      <w:pStyle w:val="Encabezado"/>
    </w:pPr>
  </w:p>
  <w:p w:rsidR="004F7CD5" w:rsidRDefault="004F7CD5">
    <w:pPr>
      <w:pStyle w:val="Encabezado"/>
    </w:pPr>
    <w:r w:rsidRPr="004B4725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B6FE91D" wp14:editId="5F4EB787">
          <wp:simplePos x="0" y="0"/>
          <wp:positionH relativeFrom="page">
            <wp:align>right</wp:align>
          </wp:positionH>
          <wp:positionV relativeFrom="paragraph">
            <wp:posOffset>178435</wp:posOffset>
          </wp:positionV>
          <wp:extent cx="7781925" cy="50800"/>
          <wp:effectExtent l="0" t="0" r="9525" b="6350"/>
          <wp:wrapNone/>
          <wp:docPr id="205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781925" cy="50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CD5" w:rsidRDefault="004F7CD5">
    <w:pPr>
      <w:pStyle w:val="Encabezado"/>
    </w:pPr>
  </w:p>
  <w:p w:rsidR="004F7CD5" w:rsidRPr="003D58A8" w:rsidRDefault="004F7CD5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87F"/>
    <w:multiLevelType w:val="hybridMultilevel"/>
    <w:tmpl w:val="604EEE9E"/>
    <w:lvl w:ilvl="0" w:tplc="04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1701"/>
    <w:multiLevelType w:val="multilevel"/>
    <w:tmpl w:val="5FEC5E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7EB739E"/>
    <w:multiLevelType w:val="hybridMultilevel"/>
    <w:tmpl w:val="938ABE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94094"/>
    <w:multiLevelType w:val="hybridMultilevel"/>
    <w:tmpl w:val="4DCCFF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71863"/>
    <w:multiLevelType w:val="multilevel"/>
    <w:tmpl w:val="3FCAA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1B9191E"/>
    <w:multiLevelType w:val="hybridMultilevel"/>
    <w:tmpl w:val="CF06D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40EB"/>
    <w:multiLevelType w:val="hybridMultilevel"/>
    <w:tmpl w:val="35AC8A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46FA"/>
    <w:multiLevelType w:val="hybridMultilevel"/>
    <w:tmpl w:val="3412DEB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9014D1"/>
    <w:multiLevelType w:val="hybridMultilevel"/>
    <w:tmpl w:val="B4688C0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838FE"/>
    <w:multiLevelType w:val="hybridMultilevel"/>
    <w:tmpl w:val="5B764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EE4"/>
    <w:multiLevelType w:val="hybridMultilevel"/>
    <w:tmpl w:val="CF06D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750B"/>
    <w:multiLevelType w:val="multilevel"/>
    <w:tmpl w:val="240A001D"/>
    <w:numStyleLink w:val="Estilo1"/>
  </w:abstractNum>
  <w:abstractNum w:abstractNumId="12" w15:restartNumberingAfterBreak="0">
    <w:nsid w:val="25061C70"/>
    <w:multiLevelType w:val="hybridMultilevel"/>
    <w:tmpl w:val="6B4E0A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E5E35"/>
    <w:multiLevelType w:val="hybridMultilevel"/>
    <w:tmpl w:val="C3E82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AF2"/>
    <w:multiLevelType w:val="hybridMultilevel"/>
    <w:tmpl w:val="6284D7D6"/>
    <w:lvl w:ilvl="0" w:tplc="70481C3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7522"/>
    <w:multiLevelType w:val="hybridMultilevel"/>
    <w:tmpl w:val="C8981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5F9"/>
    <w:multiLevelType w:val="hybridMultilevel"/>
    <w:tmpl w:val="4FE8D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4C75"/>
    <w:multiLevelType w:val="hybridMultilevel"/>
    <w:tmpl w:val="C96AA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D68F5"/>
    <w:multiLevelType w:val="hybridMultilevel"/>
    <w:tmpl w:val="A918B2C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CA1C75"/>
    <w:multiLevelType w:val="hybridMultilevel"/>
    <w:tmpl w:val="E31E7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1705D"/>
    <w:multiLevelType w:val="hybridMultilevel"/>
    <w:tmpl w:val="EDB61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D20E0"/>
    <w:multiLevelType w:val="hybridMultilevel"/>
    <w:tmpl w:val="B20E3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4EE"/>
    <w:multiLevelType w:val="hybridMultilevel"/>
    <w:tmpl w:val="4F8C29D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DC5495"/>
    <w:multiLevelType w:val="multilevel"/>
    <w:tmpl w:val="24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0620D9"/>
    <w:multiLevelType w:val="hybridMultilevel"/>
    <w:tmpl w:val="9A38E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519D"/>
    <w:multiLevelType w:val="hybridMultilevel"/>
    <w:tmpl w:val="79E8321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036DF"/>
    <w:multiLevelType w:val="hybridMultilevel"/>
    <w:tmpl w:val="7BE22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33DFB"/>
    <w:multiLevelType w:val="multilevel"/>
    <w:tmpl w:val="240A001D"/>
    <w:numStyleLink w:val="Estilo1"/>
  </w:abstractNum>
  <w:abstractNum w:abstractNumId="28" w15:restartNumberingAfterBreak="0">
    <w:nsid w:val="61C03DF7"/>
    <w:multiLevelType w:val="hybridMultilevel"/>
    <w:tmpl w:val="F3B87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539E"/>
    <w:multiLevelType w:val="hybridMultilevel"/>
    <w:tmpl w:val="48B826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4BAE"/>
    <w:multiLevelType w:val="hybridMultilevel"/>
    <w:tmpl w:val="0BA61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F171A"/>
    <w:multiLevelType w:val="hybridMultilevel"/>
    <w:tmpl w:val="533CA388"/>
    <w:lvl w:ilvl="0" w:tplc="5ED0DF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F5E"/>
    <w:multiLevelType w:val="hybridMultilevel"/>
    <w:tmpl w:val="52643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60F43"/>
    <w:multiLevelType w:val="hybridMultilevel"/>
    <w:tmpl w:val="4F249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67AF"/>
    <w:multiLevelType w:val="hybridMultilevel"/>
    <w:tmpl w:val="D9541B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B9461C"/>
    <w:multiLevelType w:val="hybridMultilevel"/>
    <w:tmpl w:val="1F8A4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3EF6"/>
    <w:multiLevelType w:val="hybridMultilevel"/>
    <w:tmpl w:val="4D2E4AC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9F34BD"/>
    <w:multiLevelType w:val="hybridMultilevel"/>
    <w:tmpl w:val="DB8AE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F5EE3"/>
    <w:multiLevelType w:val="hybridMultilevel"/>
    <w:tmpl w:val="160E7A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8"/>
  </w:num>
  <w:num w:numId="4">
    <w:abstractNumId w:val="38"/>
  </w:num>
  <w:num w:numId="5">
    <w:abstractNumId w:val="36"/>
  </w:num>
  <w:num w:numId="6">
    <w:abstractNumId w:val="34"/>
  </w:num>
  <w:num w:numId="7">
    <w:abstractNumId w:val="35"/>
  </w:num>
  <w:num w:numId="8">
    <w:abstractNumId w:val="5"/>
  </w:num>
  <w:num w:numId="9">
    <w:abstractNumId w:val="26"/>
  </w:num>
  <w:num w:numId="10">
    <w:abstractNumId w:val="19"/>
  </w:num>
  <w:num w:numId="11">
    <w:abstractNumId w:val="6"/>
  </w:num>
  <w:num w:numId="12">
    <w:abstractNumId w:val="10"/>
  </w:num>
  <w:num w:numId="13">
    <w:abstractNumId w:val="30"/>
  </w:num>
  <w:num w:numId="14">
    <w:abstractNumId w:val="32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21"/>
  </w:num>
  <w:num w:numId="20">
    <w:abstractNumId w:val="29"/>
  </w:num>
  <w:num w:numId="21">
    <w:abstractNumId w:val="22"/>
  </w:num>
  <w:num w:numId="22">
    <w:abstractNumId w:val="24"/>
  </w:num>
  <w:num w:numId="23">
    <w:abstractNumId w:val="7"/>
  </w:num>
  <w:num w:numId="24">
    <w:abstractNumId w:val="2"/>
  </w:num>
  <w:num w:numId="25">
    <w:abstractNumId w:val="4"/>
  </w:num>
  <w:num w:numId="26">
    <w:abstractNumId w:val="12"/>
  </w:num>
  <w:num w:numId="27">
    <w:abstractNumId w:val="25"/>
  </w:num>
  <w:num w:numId="28">
    <w:abstractNumId w:val="3"/>
  </w:num>
  <w:num w:numId="29">
    <w:abstractNumId w:val="8"/>
  </w:num>
  <w:num w:numId="30">
    <w:abstractNumId w:val="23"/>
  </w:num>
  <w:num w:numId="31">
    <w:abstractNumId w:val="27"/>
  </w:num>
  <w:num w:numId="32">
    <w:abstractNumId w:val="33"/>
  </w:num>
  <w:num w:numId="33">
    <w:abstractNumId w:val="13"/>
  </w:num>
  <w:num w:numId="34">
    <w:abstractNumId w:val="0"/>
  </w:num>
  <w:num w:numId="35">
    <w:abstractNumId w:val="18"/>
  </w:num>
  <w:num w:numId="36">
    <w:abstractNumId w:val="17"/>
  </w:num>
  <w:num w:numId="37">
    <w:abstractNumId w:val="11"/>
  </w:num>
  <w:num w:numId="38">
    <w:abstractNumId w:val="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86"/>
    <w:rsid w:val="0003483A"/>
    <w:rsid w:val="0004036C"/>
    <w:rsid w:val="00057116"/>
    <w:rsid w:val="00060618"/>
    <w:rsid w:val="0006723D"/>
    <w:rsid w:val="00083AB0"/>
    <w:rsid w:val="000A0315"/>
    <w:rsid w:val="000B43EB"/>
    <w:rsid w:val="000D0B1E"/>
    <w:rsid w:val="000D4D7B"/>
    <w:rsid w:val="000E64F2"/>
    <w:rsid w:val="000F625B"/>
    <w:rsid w:val="00107AAA"/>
    <w:rsid w:val="00113EC4"/>
    <w:rsid w:val="00114D06"/>
    <w:rsid w:val="0012427F"/>
    <w:rsid w:val="00134E09"/>
    <w:rsid w:val="00144D7D"/>
    <w:rsid w:val="001715C2"/>
    <w:rsid w:val="00175026"/>
    <w:rsid w:val="00180499"/>
    <w:rsid w:val="0018211A"/>
    <w:rsid w:val="00186B87"/>
    <w:rsid w:val="001A13EE"/>
    <w:rsid w:val="001B1269"/>
    <w:rsid w:val="001C056E"/>
    <w:rsid w:val="001C7FD7"/>
    <w:rsid w:val="001D5A1D"/>
    <w:rsid w:val="001D5FBF"/>
    <w:rsid w:val="001E7FBF"/>
    <w:rsid w:val="00201E73"/>
    <w:rsid w:val="002072CA"/>
    <w:rsid w:val="00222472"/>
    <w:rsid w:val="00253C15"/>
    <w:rsid w:val="00256392"/>
    <w:rsid w:val="00273354"/>
    <w:rsid w:val="00275F85"/>
    <w:rsid w:val="00281B91"/>
    <w:rsid w:val="00283229"/>
    <w:rsid w:val="00293D10"/>
    <w:rsid w:val="002D3A86"/>
    <w:rsid w:val="002D463D"/>
    <w:rsid w:val="002F541A"/>
    <w:rsid w:val="003251D5"/>
    <w:rsid w:val="00327CB6"/>
    <w:rsid w:val="0034473E"/>
    <w:rsid w:val="003470BC"/>
    <w:rsid w:val="00353610"/>
    <w:rsid w:val="00356290"/>
    <w:rsid w:val="00356AB5"/>
    <w:rsid w:val="003616C7"/>
    <w:rsid w:val="00375EC8"/>
    <w:rsid w:val="003766C4"/>
    <w:rsid w:val="0038580E"/>
    <w:rsid w:val="00393B11"/>
    <w:rsid w:val="003A2D3F"/>
    <w:rsid w:val="003B1E14"/>
    <w:rsid w:val="003C1848"/>
    <w:rsid w:val="003D58A8"/>
    <w:rsid w:val="003E4071"/>
    <w:rsid w:val="0040738F"/>
    <w:rsid w:val="0042126C"/>
    <w:rsid w:val="00425E6C"/>
    <w:rsid w:val="00441E07"/>
    <w:rsid w:val="00444F2D"/>
    <w:rsid w:val="00480A10"/>
    <w:rsid w:val="00480A44"/>
    <w:rsid w:val="00480A63"/>
    <w:rsid w:val="004A4992"/>
    <w:rsid w:val="004E3A7D"/>
    <w:rsid w:val="004F7CD5"/>
    <w:rsid w:val="0054727B"/>
    <w:rsid w:val="00580D7E"/>
    <w:rsid w:val="00584920"/>
    <w:rsid w:val="005934A1"/>
    <w:rsid w:val="005A206B"/>
    <w:rsid w:val="005C226F"/>
    <w:rsid w:val="005D1684"/>
    <w:rsid w:val="005E0FEF"/>
    <w:rsid w:val="00610441"/>
    <w:rsid w:val="00631249"/>
    <w:rsid w:val="00640D66"/>
    <w:rsid w:val="00657034"/>
    <w:rsid w:val="0065797F"/>
    <w:rsid w:val="0066180D"/>
    <w:rsid w:val="0067219D"/>
    <w:rsid w:val="00685A8D"/>
    <w:rsid w:val="006A2CC8"/>
    <w:rsid w:val="006B75F1"/>
    <w:rsid w:val="006C5E58"/>
    <w:rsid w:val="006D1055"/>
    <w:rsid w:val="006D790F"/>
    <w:rsid w:val="006F571C"/>
    <w:rsid w:val="007126C1"/>
    <w:rsid w:val="00716A85"/>
    <w:rsid w:val="0073785A"/>
    <w:rsid w:val="0074160D"/>
    <w:rsid w:val="00761EB8"/>
    <w:rsid w:val="00766D40"/>
    <w:rsid w:val="00772A68"/>
    <w:rsid w:val="00777253"/>
    <w:rsid w:val="00796755"/>
    <w:rsid w:val="007B1A9A"/>
    <w:rsid w:val="007B5DD6"/>
    <w:rsid w:val="007C3744"/>
    <w:rsid w:val="00803C73"/>
    <w:rsid w:val="00811188"/>
    <w:rsid w:val="008164A6"/>
    <w:rsid w:val="00821DBE"/>
    <w:rsid w:val="0084450A"/>
    <w:rsid w:val="00847540"/>
    <w:rsid w:val="00863E7B"/>
    <w:rsid w:val="00874262"/>
    <w:rsid w:val="00891D8B"/>
    <w:rsid w:val="008C6417"/>
    <w:rsid w:val="008D77DE"/>
    <w:rsid w:val="008E282B"/>
    <w:rsid w:val="00933ADB"/>
    <w:rsid w:val="009541D3"/>
    <w:rsid w:val="009711B1"/>
    <w:rsid w:val="009816E0"/>
    <w:rsid w:val="00984571"/>
    <w:rsid w:val="00985825"/>
    <w:rsid w:val="00991A3B"/>
    <w:rsid w:val="009B097B"/>
    <w:rsid w:val="009C449B"/>
    <w:rsid w:val="009D54EA"/>
    <w:rsid w:val="009E631C"/>
    <w:rsid w:val="00A02A36"/>
    <w:rsid w:val="00A0679D"/>
    <w:rsid w:val="00A120E1"/>
    <w:rsid w:val="00A30868"/>
    <w:rsid w:val="00A35829"/>
    <w:rsid w:val="00A45B5B"/>
    <w:rsid w:val="00A71CC7"/>
    <w:rsid w:val="00A74FFC"/>
    <w:rsid w:val="00AB6263"/>
    <w:rsid w:val="00AC1831"/>
    <w:rsid w:val="00AC5A48"/>
    <w:rsid w:val="00AD5E18"/>
    <w:rsid w:val="00B15838"/>
    <w:rsid w:val="00B42A52"/>
    <w:rsid w:val="00B510EE"/>
    <w:rsid w:val="00B8560A"/>
    <w:rsid w:val="00BB0E5E"/>
    <w:rsid w:val="00BC3B60"/>
    <w:rsid w:val="00BC603C"/>
    <w:rsid w:val="00BD22F6"/>
    <w:rsid w:val="00BD6F73"/>
    <w:rsid w:val="00BE2C89"/>
    <w:rsid w:val="00BE6056"/>
    <w:rsid w:val="00BE7902"/>
    <w:rsid w:val="00BF108D"/>
    <w:rsid w:val="00BF46D9"/>
    <w:rsid w:val="00C02F8F"/>
    <w:rsid w:val="00C37831"/>
    <w:rsid w:val="00C40C76"/>
    <w:rsid w:val="00C45597"/>
    <w:rsid w:val="00C55C04"/>
    <w:rsid w:val="00C65CA0"/>
    <w:rsid w:val="00C74111"/>
    <w:rsid w:val="00C926FB"/>
    <w:rsid w:val="00C94AFB"/>
    <w:rsid w:val="00CB5004"/>
    <w:rsid w:val="00CC201D"/>
    <w:rsid w:val="00CC5B6B"/>
    <w:rsid w:val="00CD03E0"/>
    <w:rsid w:val="00CE207E"/>
    <w:rsid w:val="00CE3535"/>
    <w:rsid w:val="00CE4E5C"/>
    <w:rsid w:val="00D0748D"/>
    <w:rsid w:val="00D12C86"/>
    <w:rsid w:val="00D16EEA"/>
    <w:rsid w:val="00D27730"/>
    <w:rsid w:val="00D30DE5"/>
    <w:rsid w:val="00D62B73"/>
    <w:rsid w:val="00D91CCF"/>
    <w:rsid w:val="00D91D1E"/>
    <w:rsid w:val="00D947D7"/>
    <w:rsid w:val="00D953E6"/>
    <w:rsid w:val="00D96089"/>
    <w:rsid w:val="00D97132"/>
    <w:rsid w:val="00D97A60"/>
    <w:rsid w:val="00DD4BF9"/>
    <w:rsid w:val="00E14B86"/>
    <w:rsid w:val="00E1571C"/>
    <w:rsid w:val="00E6491C"/>
    <w:rsid w:val="00E817C0"/>
    <w:rsid w:val="00E850C0"/>
    <w:rsid w:val="00E86E91"/>
    <w:rsid w:val="00EA19AB"/>
    <w:rsid w:val="00EB662B"/>
    <w:rsid w:val="00EE7925"/>
    <w:rsid w:val="00F20B7E"/>
    <w:rsid w:val="00F46BB1"/>
    <w:rsid w:val="00F61676"/>
    <w:rsid w:val="00F62942"/>
    <w:rsid w:val="00F95EA3"/>
    <w:rsid w:val="00FA2EBB"/>
    <w:rsid w:val="00FB4FFB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C4DB"/>
  <w15:chartTrackingRefBased/>
  <w15:docId w15:val="{61E76DA5-F449-4D33-A7EE-6EBA0E1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CD5"/>
  </w:style>
  <w:style w:type="paragraph" w:styleId="Piedepgina">
    <w:name w:val="footer"/>
    <w:basedOn w:val="Normal"/>
    <w:link w:val="PiedepginaCar"/>
    <w:uiPriority w:val="99"/>
    <w:unhideWhenUsed/>
    <w:rsid w:val="004F7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CD5"/>
  </w:style>
  <w:style w:type="table" w:styleId="Tablaconcuadrcula">
    <w:name w:val="Table Grid"/>
    <w:basedOn w:val="Tablanormal"/>
    <w:uiPriority w:val="39"/>
    <w:rsid w:val="004F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5E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8A8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4A499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Usuario de Windows</cp:lastModifiedBy>
  <cp:revision>4</cp:revision>
  <cp:lastPrinted>2020-02-05T22:45:00Z</cp:lastPrinted>
  <dcterms:created xsi:type="dcterms:W3CDTF">2020-10-03T00:08:00Z</dcterms:created>
  <dcterms:modified xsi:type="dcterms:W3CDTF">2020-10-03T00:11:00Z</dcterms:modified>
</cp:coreProperties>
</file>